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97071">
      <w:pPr>
        <w:spacing w:line="520" w:lineRule="exact"/>
        <w:ind w:firstLine="482" w:firstLineChars="200"/>
        <w:rPr>
          <w:rFonts w:ascii="宋体" w:hAnsi="宋体"/>
          <w:sz w:val="28"/>
          <w:szCs w:val="28"/>
        </w:rPr>
      </w:pPr>
      <w:r>
        <w:rPr>
          <w:rFonts w:hint="eastAsia" w:ascii="宋体" w:hAnsi="宋体"/>
          <w:b/>
          <w:sz w:val="24"/>
          <w:szCs w:val="24"/>
          <w:lang w:val="zh-CN"/>
        </w:rPr>
        <w:t>（此合同主要条款，除商务条款外，其余部分只作为参考，最终合同</w:t>
      </w:r>
      <w:r>
        <w:rPr>
          <w:rFonts w:hint="eastAsia" w:ascii="宋体" w:hAnsi="宋体"/>
          <w:b/>
          <w:sz w:val="24"/>
          <w:szCs w:val="24"/>
        </w:rPr>
        <w:t>以</w:t>
      </w:r>
      <w:r>
        <w:rPr>
          <w:rFonts w:hint="eastAsia" w:ascii="宋体" w:hAnsi="宋体"/>
          <w:b/>
          <w:sz w:val="24"/>
          <w:szCs w:val="24"/>
          <w:lang w:val="zh-CN"/>
        </w:rPr>
        <w:t>采购人给出的合同定稿为准。）</w:t>
      </w:r>
    </w:p>
    <w:p w14:paraId="78C9E04A">
      <w:pPr>
        <w:jc w:val="center"/>
        <w:rPr>
          <w:rFonts w:ascii="宋体" w:hAnsi="宋体" w:cs="宋体"/>
          <w:sz w:val="28"/>
          <w:szCs w:val="28"/>
        </w:rPr>
      </w:pPr>
    </w:p>
    <w:p w14:paraId="308095BE">
      <w:pPr>
        <w:jc w:val="center"/>
        <w:rPr>
          <w:rFonts w:ascii="宋体" w:hAnsi="宋体" w:cs="宋体"/>
          <w:b/>
          <w:sz w:val="36"/>
          <w:szCs w:val="36"/>
        </w:rPr>
      </w:pPr>
    </w:p>
    <w:p w14:paraId="6605BC23">
      <w:pPr>
        <w:jc w:val="center"/>
        <w:rPr>
          <w:rFonts w:ascii="宋体" w:hAnsi="宋体" w:cs="宋体"/>
          <w:b/>
          <w:sz w:val="48"/>
          <w:szCs w:val="48"/>
          <w:u w:val="single"/>
        </w:rPr>
      </w:pPr>
      <w:r>
        <w:rPr>
          <w:rFonts w:hint="eastAsia" w:ascii="宋体" w:hAnsi="宋体" w:cs="宋体"/>
          <w:b/>
          <w:sz w:val="48"/>
          <w:szCs w:val="48"/>
          <w:u w:val="single"/>
        </w:rPr>
        <w:t>陕西省中医医院       （项目名称）</w:t>
      </w:r>
    </w:p>
    <w:p w14:paraId="428A7F9D">
      <w:pPr>
        <w:jc w:val="center"/>
        <w:rPr>
          <w:rFonts w:ascii="宋体" w:hAnsi="宋体" w:cs="宋体"/>
          <w:b/>
          <w:sz w:val="48"/>
          <w:szCs w:val="48"/>
        </w:rPr>
      </w:pPr>
      <w:r>
        <w:rPr>
          <w:rFonts w:hint="eastAsia" w:ascii="宋体" w:hAnsi="宋体" w:cs="宋体"/>
          <w:b/>
          <w:sz w:val="48"/>
          <w:szCs w:val="48"/>
        </w:rPr>
        <w:t>采购合同</w:t>
      </w:r>
    </w:p>
    <w:p w14:paraId="68E8E227">
      <w:pPr>
        <w:jc w:val="center"/>
        <w:rPr>
          <w:rFonts w:ascii="宋体" w:hAnsi="宋体" w:cs="宋体"/>
          <w:sz w:val="28"/>
          <w:szCs w:val="28"/>
        </w:rPr>
      </w:pPr>
    </w:p>
    <w:p w14:paraId="1280791C">
      <w:pPr>
        <w:pStyle w:val="5"/>
        <w:rPr>
          <w:rFonts w:ascii="宋体" w:hAnsi="宋体" w:cs="宋体"/>
          <w:szCs w:val="28"/>
        </w:rPr>
      </w:pPr>
    </w:p>
    <w:p w14:paraId="1D2520B7">
      <w:pPr>
        <w:rPr>
          <w:rFonts w:ascii="宋体" w:hAnsi="宋体" w:cs="宋体"/>
          <w:sz w:val="28"/>
          <w:szCs w:val="28"/>
        </w:rPr>
      </w:pPr>
    </w:p>
    <w:p w14:paraId="748E1ED3">
      <w:pPr>
        <w:pStyle w:val="5"/>
        <w:rPr>
          <w:rFonts w:ascii="宋体" w:hAnsi="宋体" w:cs="宋体"/>
          <w:szCs w:val="28"/>
        </w:rPr>
      </w:pPr>
    </w:p>
    <w:p w14:paraId="6E4156FB">
      <w:pPr>
        <w:rPr>
          <w:rFonts w:ascii="宋体" w:hAnsi="宋体" w:cs="宋体"/>
          <w:sz w:val="28"/>
          <w:szCs w:val="28"/>
        </w:rPr>
      </w:pPr>
    </w:p>
    <w:p w14:paraId="6E342A0C">
      <w:pPr>
        <w:pStyle w:val="5"/>
        <w:rPr>
          <w:rFonts w:ascii="宋体" w:hAnsi="宋体" w:cs="宋体"/>
          <w:szCs w:val="28"/>
        </w:rPr>
      </w:pPr>
    </w:p>
    <w:p w14:paraId="154C58E4">
      <w:pPr>
        <w:rPr>
          <w:rFonts w:ascii="宋体" w:hAnsi="宋体" w:cs="宋体"/>
          <w:sz w:val="28"/>
          <w:szCs w:val="28"/>
        </w:rPr>
      </w:pPr>
    </w:p>
    <w:p w14:paraId="070CCB61">
      <w:pPr>
        <w:pStyle w:val="5"/>
      </w:pPr>
    </w:p>
    <w:p w14:paraId="5D514921"/>
    <w:p w14:paraId="5E1D27DB">
      <w:pPr>
        <w:pStyle w:val="5"/>
      </w:pPr>
    </w:p>
    <w:p w14:paraId="5935D340"/>
    <w:p w14:paraId="22275B42"/>
    <w:p w14:paraId="5FD318B6">
      <w:pPr>
        <w:jc w:val="center"/>
        <w:rPr>
          <w:rFonts w:ascii="宋体" w:hAnsi="宋体" w:cs="宋体"/>
          <w:sz w:val="28"/>
          <w:szCs w:val="28"/>
        </w:rPr>
      </w:pPr>
    </w:p>
    <w:p w14:paraId="2560A1B3">
      <w:pPr>
        <w:jc w:val="center"/>
        <w:rPr>
          <w:rFonts w:ascii="宋体" w:hAnsi="宋体" w:cs="宋体"/>
          <w:sz w:val="28"/>
          <w:szCs w:val="28"/>
        </w:rPr>
      </w:pPr>
    </w:p>
    <w:p w14:paraId="45925FA7">
      <w:pPr>
        <w:jc w:val="center"/>
        <w:rPr>
          <w:rFonts w:ascii="宋体" w:hAnsi="宋体" w:cs="宋体"/>
          <w:sz w:val="28"/>
          <w:szCs w:val="28"/>
        </w:rPr>
      </w:pPr>
      <w:r>
        <w:rPr>
          <w:rFonts w:hint="eastAsia" w:ascii="宋体" w:hAnsi="宋体" w:cs="宋体"/>
          <w:sz w:val="28"/>
          <w:szCs w:val="28"/>
        </w:rPr>
        <w:t>甲  方：陕西省中医医院</w:t>
      </w:r>
    </w:p>
    <w:p w14:paraId="350A235E">
      <w:pPr>
        <w:ind w:firstLine="2520" w:firstLineChars="900"/>
        <w:rPr>
          <w:rFonts w:ascii="宋体" w:hAnsi="宋体" w:cs="宋体"/>
          <w:sz w:val="28"/>
          <w:szCs w:val="28"/>
        </w:rPr>
      </w:pPr>
      <w:r>
        <w:rPr>
          <w:rFonts w:hint="eastAsia" w:ascii="宋体" w:hAnsi="宋体" w:cs="宋体"/>
          <w:sz w:val="28"/>
          <w:szCs w:val="28"/>
        </w:rPr>
        <w:t>乙  方：</w:t>
      </w:r>
    </w:p>
    <w:p w14:paraId="522E6EB3">
      <w:pPr>
        <w:rPr>
          <w:rFonts w:ascii="宋体" w:hAnsi="宋体" w:cs="宋体"/>
          <w:sz w:val="28"/>
          <w:szCs w:val="28"/>
        </w:rPr>
      </w:pPr>
      <w:r>
        <w:rPr>
          <w:rFonts w:hint="eastAsia" w:ascii="宋体" w:hAnsi="宋体" w:cs="宋体"/>
          <w:sz w:val="28"/>
          <w:szCs w:val="28"/>
        </w:rPr>
        <w:t xml:space="preserve"> </w:t>
      </w:r>
    </w:p>
    <w:p w14:paraId="291A0033">
      <w:pPr>
        <w:jc w:val="center"/>
        <w:rPr>
          <w:rFonts w:ascii="宋体" w:hAnsi="宋体" w:cs="宋体"/>
          <w:b/>
          <w:sz w:val="36"/>
          <w:szCs w:val="36"/>
        </w:rPr>
      </w:pPr>
      <w:r>
        <w:rPr>
          <w:rFonts w:hint="eastAsia" w:ascii="宋体" w:hAnsi="宋体" w:cs="宋体"/>
          <w:b/>
          <w:sz w:val="36"/>
          <w:szCs w:val="36"/>
          <w:u w:val="single"/>
        </w:rPr>
        <w:t>项目名称</w:t>
      </w:r>
      <w:r>
        <w:rPr>
          <w:rFonts w:hint="eastAsia" w:ascii="宋体" w:hAnsi="宋体" w:cs="宋体"/>
          <w:b/>
          <w:sz w:val="36"/>
          <w:szCs w:val="36"/>
        </w:rPr>
        <w:t>采购合同</w:t>
      </w:r>
    </w:p>
    <w:p w14:paraId="56A56474">
      <w:pPr>
        <w:jc w:val="center"/>
        <w:rPr>
          <w:rFonts w:ascii="宋体" w:hAnsi="宋体" w:cs="宋体"/>
          <w:bCs/>
          <w:sz w:val="44"/>
          <w:szCs w:val="44"/>
        </w:rPr>
      </w:pPr>
    </w:p>
    <w:p w14:paraId="3CCD96BA">
      <w:pPr>
        <w:spacing w:line="360" w:lineRule="auto"/>
        <w:ind w:firstLine="420" w:firstLineChars="200"/>
        <w:jc w:val="left"/>
        <w:rPr>
          <w:rFonts w:ascii="宋体" w:hAnsi="宋体" w:eastAsia="宋体" w:cs="宋体"/>
          <w:bCs/>
          <w:szCs w:val="21"/>
        </w:rPr>
      </w:pPr>
      <w:r>
        <w:rPr>
          <w:rFonts w:hint="eastAsia" w:ascii="宋体" w:hAnsi="宋体" w:cs="宋体"/>
          <w:bCs/>
          <w:szCs w:val="21"/>
        </w:rPr>
        <w:t>陕西省中医医院</w:t>
      </w:r>
      <w:r>
        <w:rPr>
          <w:rFonts w:hint="eastAsia" w:ascii="宋体" w:hAnsi="宋体" w:eastAsia="宋体" w:cs="宋体"/>
          <w:bCs/>
          <w:szCs w:val="21"/>
        </w:rPr>
        <w:t>（以下简称甲方）经院内集体采购，选定</w:t>
      </w:r>
      <w:r>
        <w:rPr>
          <w:rFonts w:hint="eastAsia" w:ascii="宋体" w:hAnsi="宋体" w:eastAsia="宋体" w:cs="宋体"/>
          <w:bCs/>
          <w:szCs w:val="21"/>
          <w:u w:val="single"/>
        </w:rPr>
        <w:t xml:space="preserve">        公司</w:t>
      </w:r>
      <w:r>
        <w:rPr>
          <w:rFonts w:hint="eastAsia" w:ascii="宋体" w:hAnsi="宋体" w:eastAsia="宋体" w:cs="宋体"/>
          <w:bCs/>
          <w:szCs w:val="21"/>
        </w:rPr>
        <w:t>（以下简称乙方）为</w:t>
      </w:r>
      <w:r>
        <w:rPr>
          <w:rFonts w:hint="eastAsia" w:ascii="宋体" w:hAnsi="宋体" w:eastAsia="宋体" w:cs="宋体"/>
          <w:bCs/>
          <w:szCs w:val="21"/>
          <w:u w:val="single"/>
        </w:rPr>
        <w:t>项目名称</w:t>
      </w:r>
      <w:r>
        <w:rPr>
          <w:rFonts w:hint="eastAsia" w:ascii="宋体" w:hAnsi="宋体" w:eastAsia="宋体" w:cs="宋体"/>
          <w:bCs/>
          <w:szCs w:val="21"/>
        </w:rPr>
        <w:t>项目成交单位。依据《中华人民共和国民法典》，经甲、乙双方共同协商，按下述条款和条件签署本合同。</w:t>
      </w:r>
    </w:p>
    <w:p w14:paraId="321502CC">
      <w:pPr>
        <w:spacing w:line="360" w:lineRule="auto"/>
        <w:jc w:val="left"/>
        <w:rPr>
          <w:rFonts w:ascii="宋体" w:hAnsi="宋体" w:eastAsia="宋体" w:cs="宋体"/>
          <w:b/>
          <w:szCs w:val="21"/>
        </w:rPr>
      </w:pPr>
      <w:r>
        <w:rPr>
          <w:rFonts w:hint="eastAsia" w:ascii="宋体" w:hAnsi="宋体" w:eastAsia="宋体" w:cs="宋体"/>
          <w:b/>
          <w:szCs w:val="21"/>
        </w:rPr>
        <w:t>一、合同内容</w:t>
      </w:r>
    </w:p>
    <w:p w14:paraId="10F09D48">
      <w:pPr>
        <w:spacing w:line="360" w:lineRule="auto"/>
        <w:ind w:firstLine="422" w:firstLineChars="200"/>
        <w:jc w:val="left"/>
        <w:rPr>
          <w:rFonts w:hint="eastAsia" w:ascii="宋体" w:hAnsi="宋体" w:eastAsia="宋体" w:cs="宋体"/>
          <w:szCs w:val="21"/>
        </w:rPr>
      </w:pPr>
      <w:r>
        <w:rPr>
          <w:rFonts w:hint="eastAsia" w:ascii="仿宋_GB2312" w:hAnsi="仿宋_GB2312" w:eastAsia="仿宋_GB2312" w:cs="仿宋_GB2312"/>
          <w:b/>
          <w:bCs/>
          <w:u w:val="single"/>
          <w:lang w:eastAsia="zh-CN"/>
        </w:rPr>
        <w:t>陕西省中医医院污水处理站运维服务外包</w:t>
      </w:r>
      <w:r>
        <w:rPr>
          <w:rFonts w:hint="eastAsia" w:ascii="仿宋_GB2312" w:hAnsi="仿宋_GB2312" w:eastAsia="仿宋_GB2312" w:cs="仿宋_GB2312"/>
          <w:b/>
          <w:bCs/>
          <w:u w:val="single"/>
          <w:lang w:val="en-US" w:eastAsia="zh-CN"/>
        </w:rPr>
        <w:t>项目，成交</w:t>
      </w:r>
      <w:r>
        <w:rPr>
          <w:rFonts w:hint="eastAsia" w:ascii="宋体" w:hAnsi="宋体" w:eastAsia="宋体" w:cs="宋体"/>
          <w:bCs/>
          <w:szCs w:val="21"/>
        </w:rPr>
        <w:t>总金额：</w:t>
      </w:r>
      <w:r>
        <w:rPr>
          <w:rFonts w:hint="eastAsia" w:ascii="宋体" w:hAnsi="宋体" w:eastAsia="宋体" w:cs="宋体"/>
          <w:szCs w:val="21"/>
        </w:rPr>
        <w:t>人民币</w:t>
      </w:r>
      <w:r>
        <w:rPr>
          <w:rFonts w:hint="eastAsia" w:ascii="宋体" w:hAnsi="宋体" w:eastAsia="宋体" w:cs="宋体"/>
          <w:szCs w:val="21"/>
          <w:u w:val="single"/>
        </w:rPr>
        <w:t xml:space="preserve">    </w:t>
      </w:r>
      <w:r>
        <w:rPr>
          <w:rFonts w:hint="eastAsia" w:ascii="宋体" w:hAnsi="宋体" w:eastAsia="宋体" w:cs="宋体"/>
          <w:szCs w:val="21"/>
        </w:rPr>
        <w:t>万元整（¥</w:t>
      </w:r>
      <w:r>
        <w:rPr>
          <w:rFonts w:hint="eastAsia" w:ascii="宋体" w:hAnsi="宋体" w:eastAsia="宋体" w:cs="宋体"/>
          <w:szCs w:val="21"/>
          <w:u w:val="single"/>
        </w:rPr>
        <w:t xml:space="preserve">    </w:t>
      </w:r>
      <w:r>
        <w:rPr>
          <w:rFonts w:hint="eastAsia" w:ascii="宋体" w:hAnsi="宋体" w:eastAsia="宋体" w:cs="宋体"/>
          <w:szCs w:val="21"/>
        </w:rPr>
        <w:t>万元）</w:t>
      </w:r>
    </w:p>
    <w:p w14:paraId="010699DD">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0" w:name="_Toc12272"/>
      <w:bookmarkStart w:id="1" w:name="_Toc28389"/>
      <w:r>
        <w:rPr>
          <w:rFonts w:hint="eastAsia" w:ascii="仿宋" w:hAnsi="仿宋" w:eastAsia="仿宋" w:cs="仿宋"/>
          <w:b w:val="0"/>
          <w:bCs w:val="0"/>
          <w:sz w:val="21"/>
          <w:szCs w:val="21"/>
          <w:lang w:val="en-US" w:eastAsia="zh-CN"/>
        </w:rPr>
        <w:t>（一）服务期限</w:t>
      </w:r>
      <w:bookmarkEnd w:id="0"/>
      <w:bookmarkEnd w:id="1"/>
    </w:p>
    <w:p w14:paraId="0263764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自合同签订之日起1年。</w:t>
      </w:r>
    </w:p>
    <w:p w14:paraId="0B240625">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2" w:name="_Toc3751"/>
      <w:bookmarkStart w:id="3" w:name="_Toc25166"/>
      <w:r>
        <w:rPr>
          <w:rFonts w:hint="eastAsia" w:ascii="仿宋" w:hAnsi="仿宋" w:eastAsia="仿宋" w:cs="仿宋"/>
          <w:b w:val="0"/>
          <w:bCs w:val="0"/>
          <w:sz w:val="21"/>
          <w:szCs w:val="21"/>
          <w:lang w:val="en-US" w:eastAsia="zh-CN"/>
        </w:rPr>
        <w:t>（二）服务地点</w:t>
      </w:r>
      <w:bookmarkEnd w:id="2"/>
      <w:bookmarkEnd w:id="3"/>
    </w:p>
    <w:p w14:paraId="37D949E8">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b w:val="0"/>
          <w:bCs w:val="0"/>
          <w:kern w:val="2"/>
          <w:sz w:val="21"/>
          <w:szCs w:val="21"/>
          <w:lang w:val="en-US" w:eastAsia="zh-CN" w:bidi="ar-SA"/>
        </w:rPr>
        <w:t>院方指</w:t>
      </w:r>
      <w:r>
        <w:rPr>
          <w:rFonts w:hint="eastAsia" w:ascii="仿宋" w:hAnsi="仿宋" w:eastAsia="仿宋" w:cs="仿宋"/>
          <w:kern w:val="2"/>
          <w:sz w:val="21"/>
          <w:szCs w:val="21"/>
          <w:lang w:val="en-US" w:eastAsia="zh-CN" w:bidi="ar-SA"/>
        </w:rPr>
        <w:t>定地点。</w:t>
      </w:r>
    </w:p>
    <w:p w14:paraId="4BE02D0A">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4" w:name="_Toc21212"/>
      <w:bookmarkStart w:id="5" w:name="_Toc20560"/>
      <w:r>
        <w:rPr>
          <w:rFonts w:hint="eastAsia" w:ascii="仿宋" w:hAnsi="仿宋" w:eastAsia="仿宋" w:cs="仿宋"/>
          <w:b w:val="0"/>
          <w:bCs w:val="0"/>
          <w:sz w:val="21"/>
          <w:szCs w:val="21"/>
          <w:lang w:val="en-US" w:eastAsia="zh-CN"/>
        </w:rPr>
        <w:t>（三）服务质量</w:t>
      </w:r>
      <w:bookmarkEnd w:id="4"/>
      <w:bookmarkEnd w:id="5"/>
    </w:p>
    <w:p w14:paraId="362EA68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b w:val="0"/>
          <w:bCs w:val="0"/>
          <w:kern w:val="2"/>
          <w:sz w:val="21"/>
          <w:szCs w:val="21"/>
          <w:lang w:val="en-US" w:eastAsia="zh-CN" w:bidi="ar-SA"/>
        </w:rPr>
        <w:t>服务须</w:t>
      </w:r>
      <w:r>
        <w:rPr>
          <w:rFonts w:hint="eastAsia" w:ascii="仿宋" w:hAnsi="仿宋" w:eastAsia="仿宋" w:cs="仿宋"/>
          <w:kern w:val="2"/>
          <w:sz w:val="21"/>
          <w:szCs w:val="21"/>
          <w:lang w:val="en-US" w:eastAsia="zh-CN" w:bidi="ar-SA"/>
        </w:rPr>
        <w:t>达到现行国家、行业及地方相关质量和安全合格标准。</w:t>
      </w:r>
    </w:p>
    <w:p w14:paraId="22D68FA0">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1"/>
        <w:rPr>
          <w:rFonts w:hint="eastAsia" w:ascii="仿宋" w:hAnsi="仿宋" w:eastAsia="仿宋" w:cs="仿宋"/>
          <w:b w:val="0"/>
          <w:bCs w:val="0"/>
          <w:sz w:val="21"/>
          <w:szCs w:val="21"/>
          <w:lang w:val="en-US" w:eastAsia="zh-CN"/>
        </w:rPr>
      </w:pPr>
      <w:bookmarkStart w:id="6" w:name="_Toc26344"/>
      <w:bookmarkStart w:id="7" w:name="_Toc32442"/>
      <w:r>
        <w:rPr>
          <w:rFonts w:hint="eastAsia" w:ascii="仿宋" w:hAnsi="仿宋" w:eastAsia="仿宋" w:cs="仿宋"/>
          <w:b w:val="0"/>
          <w:bCs w:val="0"/>
          <w:sz w:val="21"/>
          <w:szCs w:val="21"/>
          <w:lang w:val="en-US" w:eastAsia="zh-CN"/>
        </w:rPr>
        <w:t>二、费用与支付</w:t>
      </w:r>
      <w:bookmarkEnd w:id="6"/>
      <w:bookmarkEnd w:id="7"/>
    </w:p>
    <w:p w14:paraId="6283CF33">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8" w:name="_Toc29045"/>
      <w:bookmarkStart w:id="9" w:name="_Toc10462"/>
      <w:r>
        <w:rPr>
          <w:rFonts w:hint="eastAsia" w:ascii="仿宋" w:hAnsi="仿宋" w:eastAsia="仿宋" w:cs="仿宋"/>
          <w:b w:val="0"/>
          <w:bCs w:val="0"/>
          <w:sz w:val="21"/>
          <w:szCs w:val="21"/>
          <w:lang w:val="en-US" w:eastAsia="zh-CN"/>
        </w:rPr>
        <w:t>（一）支付方式</w:t>
      </w:r>
      <w:bookmarkEnd w:id="8"/>
      <w:bookmarkEnd w:id="9"/>
    </w:p>
    <w:p w14:paraId="13AB203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b w:val="0"/>
          <w:bCs w:val="0"/>
          <w:kern w:val="2"/>
          <w:sz w:val="21"/>
          <w:szCs w:val="21"/>
          <w:lang w:val="en-US" w:eastAsia="zh-CN" w:bidi="ar-SA"/>
        </w:rPr>
        <w:t>服务费用</w:t>
      </w:r>
      <w:r>
        <w:rPr>
          <w:rFonts w:hint="eastAsia" w:ascii="仿宋" w:hAnsi="仿宋" w:eastAsia="仿宋" w:cs="仿宋"/>
          <w:kern w:val="2"/>
          <w:sz w:val="21"/>
          <w:szCs w:val="21"/>
          <w:lang w:val="en-US" w:eastAsia="zh-CN" w:bidi="ar-SA"/>
        </w:rPr>
        <w:t>按季度支付。院方于每季度末向成交供应商支付年度服务费总额的25%。供应商开具发票后，院方在60日内支付。</w:t>
      </w:r>
    </w:p>
    <w:p w14:paraId="64BF7141">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10" w:name="_Toc7085"/>
      <w:bookmarkStart w:id="11" w:name="_Toc22078"/>
      <w:r>
        <w:rPr>
          <w:rFonts w:hint="eastAsia" w:ascii="仿宋" w:hAnsi="仿宋" w:eastAsia="仿宋" w:cs="仿宋"/>
          <w:b w:val="0"/>
          <w:bCs w:val="0"/>
          <w:sz w:val="21"/>
          <w:szCs w:val="21"/>
          <w:lang w:val="en-US" w:eastAsia="zh-CN"/>
        </w:rPr>
        <w:t>（二）支付流程</w:t>
      </w:r>
      <w:bookmarkEnd w:id="10"/>
      <w:bookmarkEnd w:id="11"/>
    </w:p>
    <w:p w14:paraId="359E8A0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院方对成交供应商服务进行考核并确认合格→成交供应商向院方开具等额、合规的正式发票→院方通过银行转账方式支付当期款项。</w:t>
      </w:r>
    </w:p>
    <w:p w14:paraId="282C8548">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12" w:name="_Toc16442"/>
      <w:bookmarkStart w:id="13" w:name="_Toc3137"/>
      <w:r>
        <w:rPr>
          <w:rFonts w:hint="eastAsia" w:ascii="仿宋" w:hAnsi="仿宋" w:eastAsia="仿宋" w:cs="仿宋"/>
          <w:b w:val="0"/>
          <w:bCs w:val="0"/>
          <w:sz w:val="21"/>
          <w:szCs w:val="21"/>
          <w:lang w:val="en-US" w:eastAsia="zh-CN"/>
        </w:rPr>
        <w:t>（三）尾款支付</w:t>
      </w:r>
      <w:bookmarkEnd w:id="12"/>
      <w:bookmarkEnd w:id="13"/>
    </w:p>
    <w:p w14:paraId="5E9A5614">
      <w:pPr>
        <w:pStyle w:val="5"/>
        <w:keepNext w:val="0"/>
        <w:keepLines w:val="0"/>
        <w:pageBreakBefore w:val="0"/>
        <w:widowControl w:val="0"/>
        <w:kinsoku/>
        <w:wordWrap/>
        <w:overflowPunct/>
        <w:topLinePunct w:val="0"/>
        <w:autoSpaceDE/>
        <w:autoSpaceDN/>
        <w:bidi w:val="0"/>
        <w:adjustRightInd/>
        <w:snapToGrid/>
        <w:spacing w:after="0"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合同期满，且同时满足以下条件后，甲方支付剩余尾款：</w:t>
      </w:r>
    </w:p>
    <w:p w14:paraId="77112F86">
      <w:pPr>
        <w:pStyle w:val="5"/>
        <w:keepNext w:val="0"/>
        <w:keepLines w:val="0"/>
        <w:pageBreakBefore w:val="0"/>
        <w:widowControl w:val="0"/>
        <w:kinsoku/>
        <w:wordWrap/>
        <w:overflowPunct/>
        <w:topLinePunct w:val="0"/>
        <w:autoSpaceDE/>
        <w:autoSpaceDN/>
        <w:bidi w:val="0"/>
        <w:adjustRightInd/>
        <w:snapToGrid/>
        <w:spacing w:after="0"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1.污水处理设备完好无损；</w:t>
      </w:r>
    </w:p>
    <w:p w14:paraId="2C81DBB8">
      <w:pPr>
        <w:pStyle w:val="5"/>
        <w:keepNext w:val="0"/>
        <w:keepLines w:val="0"/>
        <w:pageBreakBefore w:val="0"/>
        <w:widowControl w:val="0"/>
        <w:kinsoku/>
        <w:wordWrap/>
        <w:overflowPunct/>
        <w:topLinePunct w:val="0"/>
        <w:autoSpaceDE/>
        <w:autoSpaceDN/>
        <w:bidi w:val="0"/>
        <w:adjustRightInd/>
        <w:snapToGrid/>
        <w:spacing w:after="0"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2.出水水质持续稳定达标；</w:t>
      </w:r>
    </w:p>
    <w:p w14:paraId="5C984D68">
      <w:pPr>
        <w:pStyle w:val="5"/>
        <w:keepNext w:val="0"/>
        <w:keepLines w:val="0"/>
        <w:pageBreakBefore w:val="0"/>
        <w:widowControl w:val="0"/>
        <w:kinsoku/>
        <w:wordWrap/>
        <w:overflowPunct/>
        <w:topLinePunct w:val="0"/>
        <w:autoSpaceDE/>
        <w:autoSpaceDN/>
        <w:bidi w:val="0"/>
        <w:adjustRightInd/>
        <w:snapToGrid/>
        <w:spacing w:after="0" w:line="440" w:lineRule="exact"/>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3.成交供应商已向院方完整移交所有相关技术资料。</w:t>
      </w:r>
    </w:p>
    <w:p w14:paraId="4E1CE5EF">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1"/>
        <w:rPr>
          <w:rFonts w:hint="eastAsia" w:ascii="仿宋" w:hAnsi="仿宋" w:eastAsia="仿宋" w:cs="仿宋"/>
          <w:b w:val="0"/>
          <w:bCs w:val="0"/>
          <w:sz w:val="21"/>
          <w:szCs w:val="21"/>
          <w:lang w:val="en-US" w:eastAsia="zh-CN"/>
        </w:rPr>
      </w:pPr>
      <w:bookmarkStart w:id="14" w:name="_Toc10642"/>
      <w:bookmarkStart w:id="15" w:name="_Toc10255"/>
      <w:r>
        <w:rPr>
          <w:rFonts w:hint="eastAsia" w:ascii="仿宋" w:hAnsi="仿宋" w:eastAsia="仿宋" w:cs="仿宋"/>
          <w:b w:val="0"/>
          <w:bCs w:val="0"/>
          <w:sz w:val="21"/>
          <w:szCs w:val="21"/>
          <w:lang w:val="en-US" w:eastAsia="zh-CN"/>
        </w:rPr>
        <w:t>三、运维责任与风险（成交供应商承担）</w:t>
      </w:r>
      <w:bookmarkEnd w:id="14"/>
      <w:bookmarkEnd w:id="15"/>
    </w:p>
    <w:p w14:paraId="17043A71">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16" w:name="_Toc16059"/>
      <w:bookmarkStart w:id="17" w:name="_Toc6738"/>
      <w:r>
        <w:rPr>
          <w:rFonts w:hint="eastAsia" w:ascii="仿宋" w:hAnsi="仿宋" w:eastAsia="仿宋" w:cs="仿宋"/>
          <w:b w:val="0"/>
          <w:bCs w:val="0"/>
          <w:sz w:val="21"/>
          <w:szCs w:val="21"/>
          <w:lang w:val="en-US" w:eastAsia="zh-CN"/>
        </w:rPr>
        <w:t>（一）设备检查与维护</w:t>
      </w:r>
      <w:bookmarkEnd w:id="16"/>
      <w:bookmarkEnd w:id="17"/>
    </w:p>
    <w:p w14:paraId="1D384F8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2" w:firstLineChars="200"/>
        <w:jc w:val="left"/>
        <w:textAlignment w:val="auto"/>
        <w:outlineLvl w:val="4"/>
        <w:rPr>
          <w:rStyle w:val="8"/>
          <w:rFonts w:hint="eastAsia" w:ascii="仿宋" w:hAnsi="仿宋" w:eastAsia="仿宋" w:cs="仿宋"/>
          <w:b/>
          <w:bCs w:val="0"/>
          <w:sz w:val="21"/>
          <w:szCs w:val="21"/>
          <w:lang w:val="en-US" w:eastAsia="zh-CN"/>
        </w:rPr>
      </w:pPr>
      <w:bookmarkStart w:id="18" w:name="_Toc18719"/>
      <w:bookmarkStart w:id="19" w:name="_Toc13553"/>
      <w:r>
        <w:rPr>
          <w:rStyle w:val="8"/>
          <w:rFonts w:hint="eastAsia" w:ascii="仿宋" w:hAnsi="仿宋" w:eastAsia="仿宋" w:cs="仿宋"/>
          <w:b/>
          <w:bCs w:val="0"/>
          <w:sz w:val="21"/>
          <w:szCs w:val="21"/>
          <w:lang w:val="en-US" w:eastAsia="zh-CN"/>
        </w:rPr>
        <w:t>1.投标前检查</w:t>
      </w:r>
      <w:bookmarkEnd w:id="18"/>
      <w:bookmarkEnd w:id="19"/>
    </w:p>
    <w:p w14:paraId="11D42A7A">
      <w:pPr>
        <w:pStyle w:val="5"/>
        <w:keepNext w:val="0"/>
        <w:keepLines w:val="0"/>
        <w:pageBreakBefore w:val="0"/>
        <w:widowControl w:val="0"/>
        <w:kinsoku/>
        <w:wordWrap/>
        <w:overflowPunct/>
        <w:topLinePunct w:val="0"/>
        <w:autoSpaceDE/>
        <w:autoSpaceDN/>
        <w:bidi w:val="0"/>
        <w:adjustRightInd/>
        <w:snapToGrid/>
        <w:spacing w:after="0"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供应商须在投标前对医院污水处理设备进行全面检查评估，充分掌握设备运行现状。</w:t>
      </w:r>
    </w:p>
    <w:p w14:paraId="004615E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2" w:firstLineChars="200"/>
        <w:jc w:val="left"/>
        <w:textAlignment w:val="auto"/>
        <w:outlineLvl w:val="4"/>
        <w:rPr>
          <w:rStyle w:val="8"/>
          <w:rFonts w:hint="eastAsia" w:ascii="仿宋" w:hAnsi="仿宋" w:eastAsia="仿宋" w:cs="仿宋"/>
          <w:b/>
          <w:bCs w:val="0"/>
          <w:sz w:val="21"/>
          <w:szCs w:val="21"/>
          <w:lang w:val="en-US" w:eastAsia="zh-CN"/>
        </w:rPr>
      </w:pPr>
      <w:bookmarkStart w:id="20" w:name="_Toc21512"/>
      <w:bookmarkStart w:id="21" w:name="_Toc2448"/>
      <w:r>
        <w:rPr>
          <w:rStyle w:val="8"/>
          <w:rFonts w:hint="eastAsia" w:ascii="仿宋" w:hAnsi="仿宋" w:eastAsia="仿宋" w:cs="仿宋"/>
          <w:b/>
          <w:bCs w:val="0"/>
          <w:sz w:val="21"/>
          <w:szCs w:val="21"/>
          <w:lang w:val="en-US" w:eastAsia="zh-CN"/>
        </w:rPr>
        <w:t>2.维修责任</w:t>
      </w:r>
      <w:bookmarkEnd w:id="20"/>
      <w:bookmarkEnd w:id="21"/>
    </w:p>
    <w:p w14:paraId="67971A2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合同期内，单件维修或更换费用在人民币2000元（含）以下的，由成交供应商承担。</w:t>
      </w:r>
    </w:p>
    <w:p w14:paraId="26822ED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2" w:firstLineChars="200"/>
        <w:jc w:val="left"/>
        <w:textAlignment w:val="auto"/>
        <w:outlineLvl w:val="4"/>
        <w:rPr>
          <w:rStyle w:val="8"/>
          <w:rFonts w:hint="eastAsia" w:ascii="仿宋" w:hAnsi="仿宋" w:eastAsia="仿宋" w:cs="仿宋"/>
          <w:b/>
          <w:bCs w:val="0"/>
          <w:sz w:val="21"/>
          <w:szCs w:val="21"/>
          <w:lang w:val="en-US" w:eastAsia="zh-CN"/>
        </w:rPr>
      </w:pPr>
      <w:bookmarkStart w:id="22" w:name="_Toc29740"/>
      <w:bookmarkStart w:id="23" w:name="_Toc24061"/>
      <w:r>
        <w:rPr>
          <w:rStyle w:val="8"/>
          <w:rFonts w:hint="eastAsia" w:ascii="仿宋" w:hAnsi="仿宋" w:eastAsia="仿宋" w:cs="仿宋"/>
          <w:b/>
          <w:bCs w:val="0"/>
          <w:sz w:val="21"/>
          <w:szCs w:val="21"/>
          <w:lang w:val="en-US" w:eastAsia="zh-CN"/>
        </w:rPr>
        <w:t>3.备件保障</w:t>
      </w:r>
      <w:bookmarkEnd w:id="22"/>
      <w:bookmarkEnd w:id="23"/>
    </w:p>
    <w:p w14:paraId="6C75FF4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成交供应商须建立并维护充足的备品备件库，确保维修响应及时。</w:t>
      </w:r>
    </w:p>
    <w:p w14:paraId="361A719E">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24" w:name="_Toc1344"/>
      <w:bookmarkStart w:id="25" w:name="_Toc14620"/>
      <w:r>
        <w:rPr>
          <w:rFonts w:hint="eastAsia" w:ascii="仿宋" w:hAnsi="仿宋" w:eastAsia="仿宋" w:cs="仿宋"/>
          <w:b w:val="0"/>
          <w:bCs w:val="0"/>
          <w:sz w:val="21"/>
          <w:szCs w:val="21"/>
          <w:lang w:val="en-US" w:eastAsia="zh-CN"/>
        </w:rPr>
        <w:t>（二）安全责任</w:t>
      </w:r>
      <w:bookmarkEnd w:id="24"/>
      <w:bookmarkEnd w:id="25"/>
    </w:p>
    <w:p w14:paraId="08D9AE6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成交供应商承担污水处理站内全部安全责任（包括但不限于派驻人员人身安全、设备运行安全、环境安全等）。因成交供应商责任导致安全事故或给甲方造成损失的，成交供应商须全额赔偿；造成恶劣影响的，甲方有权立即终止合同，并追究成交供应商由此产生的一切经济损失及法律责任；</w:t>
      </w:r>
    </w:p>
    <w:p w14:paraId="0776555A">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26" w:name="_Toc24949"/>
      <w:bookmarkStart w:id="27" w:name="_Toc12419"/>
      <w:r>
        <w:rPr>
          <w:rFonts w:hint="eastAsia" w:ascii="仿宋" w:hAnsi="仿宋" w:eastAsia="仿宋" w:cs="仿宋"/>
          <w:b w:val="0"/>
          <w:bCs w:val="0"/>
          <w:sz w:val="21"/>
          <w:szCs w:val="21"/>
          <w:lang w:val="en-US" w:eastAsia="zh-CN"/>
        </w:rPr>
        <w:t>（三）禁止偷排漏排</w:t>
      </w:r>
      <w:bookmarkEnd w:id="26"/>
      <w:bookmarkEnd w:id="27"/>
    </w:p>
    <w:p w14:paraId="558A8C7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成交供应商须确保污水处理站正常运行，严禁任何形式的偷排、漏排污水行为，一经发现，成交供应商承担由此引发的全部法律及经济责任。</w:t>
      </w:r>
    </w:p>
    <w:p w14:paraId="1DED4EFD">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28" w:name="_Toc12959"/>
      <w:bookmarkStart w:id="29" w:name="_Toc14919"/>
      <w:r>
        <w:rPr>
          <w:rFonts w:hint="eastAsia" w:ascii="仿宋" w:hAnsi="仿宋" w:eastAsia="仿宋" w:cs="仿宋"/>
          <w:b w:val="0"/>
          <w:bCs w:val="0"/>
          <w:sz w:val="21"/>
          <w:szCs w:val="21"/>
          <w:lang w:val="en-US" w:eastAsia="zh-CN"/>
        </w:rPr>
        <w:t>（四）水质达标保证与整改责任</w:t>
      </w:r>
      <w:bookmarkEnd w:id="28"/>
      <w:bookmarkEnd w:id="29"/>
      <w:r>
        <w:rPr>
          <w:rFonts w:hint="eastAsia" w:ascii="仿宋" w:hAnsi="仿宋" w:eastAsia="仿宋" w:cs="仿宋"/>
          <w:b w:val="0"/>
          <w:bCs w:val="0"/>
          <w:sz w:val="21"/>
          <w:szCs w:val="21"/>
          <w:lang w:val="en-US" w:eastAsia="zh-CN"/>
        </w:rPr>
        <w:t xml:space="preserve">   </w:t>
      </w:r>
    </w:p>
    <w:p w14:paraId="213A793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1.成交供应商承诺污水处理站出水水质持续稳定达到《医疗机构水污染物排放标准》（GB18466-2005）要求。</w:t>
      </w:r>
    </w:p>
    <w:p w14:paraId="1D8A94D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2.若因成交供应商责任导致环保部门监测出水不达标，成交供应商须立即整改，并承担由此产生的一切费用（包括政府罚款）。</w:t>
      </w:r>
    </w:p>
    <w:p w14:paraId="7C1274C0">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30" w:name="_Toc4459"/>
      <w:bookmarkStart w:id="31" w:name="_Toc28229"/>
      <w:r>
        <w:rPr>
          <w:rFonts w:hint="eastAsia" w:ascii="仿宋" w:hAnsi="仿宋" w:eastAsia="仿宋" w:cs="仿宋"/>
          <w:b w:val="0"/>
          <w:bCs w:val="0"/>
          <w:sz w:val="21"/>
          <w:szCs w:val="21"/>
          <w:lang w:val="en-US" w:eastAsia="zh-CN"/>
        </w:rPr>
        <w:t>（五）运行合规性全责</w:t>
      </w:r>
      <w:bookmarkEnd w:id="30"/>
      <w:bookmarkEnd w:id="31"/>
    </w:p>
    <w:p w14:paraId="708757E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成交供应商对污水处理站的运行效果及所有运营活动的合规性负全部责任。因环保处罚、监测数据造假等违法违规行为导致的法律及经济责任均由成交供应商承担。</w:t>
      </w:r>
    </w:p>
    <w:p w14:paraId="7E0BC05D">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32" w:name="_Toc17049"/>
      <w:bookmarkStart w:id="33" w:name="_Toc11100"/>
      <w:r>
        <w:rPr>
          <w:rFonts w:hint="eastAsia" w:ascii="仿宋" w:hAnsi="仿宋" w:eastAsia="仿宋" w:cs="仿宋"/>
          <w:b w:val="0"/>
          <w:bCs w:val="0"/>
          <w:sz w:val="21"/>
          <w:szCs w:val="21"/>
          <w:lang w:val="en-US" w:eastAsia="zh-CN"/>
        </w:rPr>
        <w:t>（六）维护管理不善责任</w:t>
      </w:r>
      <w:bookmarkEnd w:id="32"/>
      <w:bookmarkEnd w:id="33"/>
    </w:p>
    <w:p w14:paraId="113ED5BD">
      <w:pPr>
        <w:pStyle w:val="5"/>
        <w:keepNext w:val="0"/>
        <w:keepLines w:val="0"/>
        <w:pageBreakBefore w:val="0"/>
        <w:widowControl w:val="0"/>
        <w:kinsoku/>
        <w:wordWrap/>
        <w:overflowPunct/>
        <w:topLinePunct w:val="0"/>
        <w:autoSpaceDE/>
        <w:autoSpaceDN/>
        <w:bidi w:val="0"/>
        <w:adjustRightInd/>
        <w:snapToGrid/>
        <w:spacing w:after="0"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因成交供应商设备维护不当或管理疏漏导致系统停运、水质超标等问题，成交供应商须承担由此给医院造成的全部损失，并须按院方要求限期完成整改。</w:t>
      </w:r>
    </w:p>
    <w:p w14:paraId="3D6B28CA">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1"/>
        <w:rPr>
          <w:rFonts w:hint="eastAsia" w:ascii="仿宋" w:hAnsi="仿宋" w:eastAsia="仿宋" w:cs="仿宋"/>
          <w:b w:val="0"/>
          <w:bCs w:val="0"/>
          <w:sz w:val="21"/>
          <w:szCs w:val="21"/>
          <w:lang w:val="en-US" w:eastAsia="zh-CN"/>
        </w:rPr>
      </w:pPr>
      <w:bookmarkStart w:id="34" w:name="_Toc29438"/>
      <w:bookmarkStart w:id="35" w:name="_Toc2083"/>
      <w:r>
        <w:rPr>
          <w:rFonts w:hint="eastAsia" w:ascii="仿宋" w:hAnsi="仿宋" w:eastAsia="仿宋" w:cs="仿宋"/>
          <w:b w:val="0"/>
          <w:bCs w:val="0"/>
          <w:sz w:val="21"/>
          <w:szCs w:val="21"/>
          <w:lang w:val="en-US" w:eastAsia="zh-CN"/>
        </w:rPr>
        <w:t>四、人员要求</w:t>
      </w:r>
      <w:bookmarkEnd w:id="34"/>
      <w:bookmarkEnd w:id="35"/>
    </w:p>
    <w:p w14:paraId="293DC6DB">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36" w:name="_Toc30115"/>
      <w:bookmarkStart w:id="37" w:name="_Toc29285"/>
      <w:r>
        <w:rPr>
          <w:rFonts w:hint="eastAsia" w:ascii="仿宋" w:hAnsi="仿宋" w:eastAsia="仿宋" w:cs="仿宋"/>
          <w:b w:val="0"/>
          <w:bCs w:val="0"/>
          <w:sz w:val="21"/>
          <w:szCs w:val="21"/>
          <w:lang w:val="en-US" w:eastAsia="zh-CN"/>
        </w:rPr>
        <w:t>（一）人员录用</w:t>
      </w:r>
      <w:bookmarkEnd w:id="36"/>
      <w:bookmarkEnd w:id="37"/>
    </w:p>
    <w:p w14:paraId="0C23A2E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为保障污水处理站运维工作的平稳过渡，成交供应商须优先录用医院原有且符合岗位要求的员工，并依法与其签订劳动合同、缴纳社保及购买意外伤害保险。</w:t>
      </w:r>
    </w:p>
    <w:p w14:paraId="15C8EB97">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38" w:name="_Toc27958"/>
      <w:bookmarkStart w:id="39" w:name="_Toc8632"/>
      <w:r>
        <w:rPr>
          <w:rFonts w:hint="eastAsia" w:ascii="仿宋" w:hAnsi="仿宋" w:eastAsia="仿宋" w:cs="仿宋"/>
          <w:b w:val="0"/>
          <w:bCs w:val="0"/>
          <w:sz w:val="21"/>
          <w:szCs w:val="21"/>
          <w:lang w:val="en-US" w:eastAsia="zh-CN"/>
        </w:rPr>
        <w:t>（二）薪资保障</w:t>
      </w:r>
      <w:bookmarkEnd w:id="38"/>
      <w:bookmarkEnd w:id="39"/>
    </w:p>
    <w:p w14:paraId="0AA34E6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成交供应商支付所聘用人员的基本工资，不得低于陕西省规定的最低工资标准，且成交供应商须承诺不得无故拖欠员工工资。</w:t>
      </w:r>
    </w:p>
    <w:p w14:paraId="2D896F7E">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40" w:name="_Toc24037"/>
      <w:bookmarkStart w:id="41" w:name="_Toc29422"/>
      <w:r>
        <w:rPr>
          <w:rFonts w:hint="eastAsia" w:ascii="仿宋" w:hAnsi="仿宋" w:eastAsia="仿宋" w:cs="仿宋"/>
          <w:b w:val="0"/>
          <w:bCs w:val="0"/>
          <w:sz w:val="21"/>
          <w:szCs w:val="21"/>
          <w:lang w:val="en-US" w:eastAsia="zh-CN"/>
        </w:rPr>
        <w:t>（三）劳动纠纷责任</w:t>
      </w:r>
      <w:bookmarkEnd w:id="40"/>
      <w:bookmarkEnd w:id="41"/>
    </w:p>
    <w:p w14:paraId="4503C74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成交供应商服务期间所发生的一切劳动纠纷及所产生的一切费用均由成交供应商承担。若因此给院方造成恶劣影响的，院方有权立即终止合同，并追究成交供应商由此带来的一切经济损失及法律责任。</w:t>
      </w:r>
    </w:p>
    <w:p w14:paraId="03DF5911">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1"/>
        <w:rPr>
          <w:rFonts w:hint="eastAsia" w:ascii="仿宋" w:hAnsi="仿宋" w:eastAsia="仿宋" w:cs="仿宋"/>
          <w:b w:val="0"/>
          <w:bCs w:val="0"/>
          <w:sz w:val="21"/>
          <w:szCs w:val="21"/>
          <w:lang w:val="en-US" w:eastAsia="zh-CN"/>
        </w:rPr>
      </w:pPr>
      <w:bookmarkStart w:id="42" w:name="_Toc9561"/>
      <w:bookmarkStart w:id="43" w:name="_Toc17382"/>
      <w:r>
        <w:rPr>
          <w:rFonts w:hint="eastAsia" w:ascii="仿宋" w:hAnsi="仿宋" w:eastAsia="仿宋" w:cs="仿宋"/>
          <w:b w:val="0"/>
          <w:bCs w:val="0"/>
          <w:sz w:val="21"/>
          <w:szCs w:val="21"/>
          <w:lang w:val="en-US" w:eastAsia="zh-CN"/>
        </w:rPr>
        <w:t>五、考核与退出机制</w:t>
      </w:r>
      <w:bookmarkEnd w:id="42"/>
      <w:bookmarkEnd w:id="43"/>
    </w:p>
    <w:p w14:paraId="3CEA0D8D">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44" w:name="_Toc5988"/>
      <w:bookmarkStart w:id="45" w:name="_Toc26789"/>
      <w:r>
        <w:rPr>
          <w:rFonts w:hint="eastAsia" w:ascii="仿宋" w:hAnsi="仿宋" w:eastAsia="仿宋" w:cs="仿宋"/>
          <w:b w:val="0"/>
          <w:bCs w:val="0"/>
          <w:sz w:val="21"/>
          <w:szCs w:val="21"/>
          <w:lang w:val="en-US" w:eastAsia="zh-CN"/>
        </w:rPr>
        <w:t>（一）考核依据</w:t>
      </w:r>
      <w:bookmarkEnd w:id="44"/>
      <w:bookmarkEnd w:id="45"/>
    </w:p>
    <w:p w14:paraId="4901E034">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院方负责或委托相关部门依据本合同条款、竞争性磋商文件及成交供应商响应文件，对成交供应商服务进行现场巡检、验收和考核。</w:t>
      </w:r>
    </w:p>
    <w:p w14:paraId="756A41C7">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46" w:name="_Toc17240"/>
      <w:bookmarkStart w:id="47" w:name="_Toc26889"/>
      <w:r>
        <w:rPr>
          <w:rFonts w:hint="eastAsia" w:ascii="仿宋" w:hAnsi="仿宋" w:eastAsia="仿宋" w:cs="仿宋"/>
          <w:b w:val="0"/>
          <w:bCs w:val="0"/>
          <w:sz w:val="21"/>
          <w:szCs w:val="21"/>
          <w:lang w:val="en-US" w:eastAsia="zh-CN"/>
        </w:rPr>
        <w:t>（二）考核处罚</w:t>
      </w:r>
      <w:bookmarkEnd w:id="46"/>
      <w:bookmarkEnd w:id="47"/>
    </w:p>
    <w:p w14:paraId="4F34E63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考核合格，院方按合同约定支付100%季度服务费；考核不合格，院方扣除当季度服务费的20%作为违约金。</w:t>
      </w:r>
    </w:p>
    <w:p w14:paraId="0B9CE8CD">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48" w:name="_Toc15159"/>
      <w:bookmarkStart w:id="49" w:name="_Toc26469"/>
      <w:r>
        <w:rPr>
          <w:rFonts w:hint="eastAsia" w:ascii="仿宋" w:hAnsi="仿宋" w:eastAsia="仿宋" w:cs="仿宋"/>
          <w:b w:val="0"/>
          <w:bCs w:val="0"/>
          <w:sz w:val="21"/>
          <w:szCs w:val="21"/>
          <w:lang w:val="en-US" w:eastAsia="zh-CN"/>
        </w:rPr>
        <w:t>（三）合同解除条件</w:t>
      </w:r>
      <w:bookmarkEnd w:id="48"/>
      <w:bookmarkEnd w:id="49"/>
    </w:p>
    <w:p w14:paraId="7DF66D0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出现以下任一情形，院方有权单方解除合同：</w:t>
      </w:r>
    </w:p>
    <w:p w14:paraId="02E9718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1.</w:t>
      </w:r>
      <w:r>
        <w:rPr>
          <w:rFonts w:hint="eastAsia" w:ascii="仿宋" w:hAnsi="仿宋" w:eastAsia="仿宋" w:cs="仿宋"/>
          <w:kern w:val="2"/>
          <w:sz w:val="21"/>
          <w:szCs w:val="21"/>
          <w:lang w:val="en-US" w:eastAsia="zh-CN" w:bidi="ar-SA"/>
        </w:rPr>
        <w:t>成交供应商连续两个季度考核不合格；</w:t>
      </w:r>
    </w:p>
    <w:p w14:paraId="2D788D9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2.成交供应商在合同期内被环保部门处罚或通报累计达2次；</w:t>
      </w:r>
    </w:p>
    <w:p w14:paraId="2E43D45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3.成交供应商发生违规排放行为1次；</w:t>
      </w:r>
    </w:p>
    <w:p w14:paraId="7B789072">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4.成交供应商在合同期内发生拖欠员工工资或违反最低工资标准情况。</w:t>
      </w:r>
    </w:p>
    <w:p w14:paraId="778B0FAA">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1"/>
        <w:rPr>
          <w:rFonts w:hint="eastAsia" w:ascii="仿宋" w:hAnsi="仿宋" w:eastAsia="仿宋" w:cs="仿宋"/>
          <w:b w:val="0"/>
          <w:bCs w:val="0"/>
          <w:sz w:val="21"/>
          <w:szCs w:val="21"/>
          <w:lang w:val="en-US" w:eastAsia="zh-CN"/>
        </w:rPr>
      </w:pPr>
      <w:bookmarkStart w:id="50" w:name="_Toc29706"/>
      <w:bookmarkStart w:id="51" w:name="_Toc29170"/>
      <w:r>
        <w:rPr>
          <w:rFonts w:hint="eastAsia" w:ascii="仿宋" w:hAnsi="仿宋" w:eastAsia="仿宋" w:cs="仿宋"/>
          <w:b w:val="0"/>
          <w:bCs w:val="0"/>
          <w:sz w:val="21"/>
          <w:szCs w:val="21"/>
          <w:lang w:val="en-US" w:eastAsia="zh-CN"/>
        </w:rPr>
        <w:t>六、合同终止</w:t>
      </w:r>
      <w:bookmarkEnd w:id="50"/>
      <w:bookmarkEnd w:id="51"/>
    </w:p>
    <w:p w14:paraId="0780FE98">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52" w:name="_Toc32553"/>
      <w:bookmarkStart w:id="53" w:name="_Toc25307"/>
      <w:r>
        <w:rPr>
          <w:rFonts w:hint="eastAsia" w:ascii="仿宋" w:hAnsi="仿宋" w:eastAsia="仿宋" w:cs="仿宋"/>
          <w:b w:val="0"/>
          <w:bCs w:val="0"/>
          <w:sz w:val="21"/>
          <w:szCs w:val="21"/>
          <w:lang w:val="en-US" w:eastAsia="zh-CN"/>
        </w:rPr>
        <w:t>（一）院方终止（政策原因）</w:t>
      </w:r>
      <w:bookmarkEnd w:id="52"/>
      <w:bookmarkEnd w:id="53"/>
    </w:p>
    <w:p w14:paraId="75F28C1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合同期内，如遇国家或院方相关政策调整需提前终止合同，院方应通知成交供应商，成交供应商须立即执行终止。院方按成交供应商实际提供服务的期限支付相应比例的服务费。</w:t>
      </w:r>
    </w:p>
    <w:p w14:paraId="39696C7D">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54" w:name="_Toc12787"/>
      <w:bookmarkStart w:id="55" w:name="_Toc16482"/>
      <w:r>
        <w:rPr>
          <w:rFonts w:hint="eastAsia" w:ascii="仿宋" w:hAnsi="仿宋" w:eastAsia="仿宋" w:cs="仿宋"/>
          <w:b w:val="0"/>
          <w:bCs w:val="0"/>
          <w:sz w:val="21"/>
          <w:szCs w:val="21"/>
          <w:lang w:val="en-US" w:eastAsia="zh-CN"/>
        </w:rPr>
        <w:t>（二）成交供应商终止</w:t>
      </w:r>
      <w:bookmarkEnd w:id="54"/>
      <w:bookmarkEnd w:id="55"/>
    </w:p>
    <w:p w14:paraId="46163C9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合同期内，成交供应商如需提前终止合同，须提前六个月书面通知院方，并退还院方已支付但尚未发生服务的对应费用。</w:t>
      </w:r>
    </w:p>
    <w:p w14:paraId="18AB5442">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56" w:name="_Toc32338"/>
      <w:bookmarkStart w:id="57" w:name="_Toc12603"/>
      <w:r>
        <w:rPr>
          <w:rFonts w:hint="eastAsia" w:ascii="仿宋" w:hAnsi="仿宋" w:eastAsia="仿宋" w:cs="仿宋"/>
          <w:b w:val="0"/>
          <w:bCs w:val="0"/>
          <w:sz w:val="21"/>
          <w:szCs w:val="21"/>
          <w:lang w:val="en-US" w:eastAsia="zh-CN"/>
        </w:rPr>
        <w:t>（三）合同到期交接</w:t>
      </w:r>
      <w:bookmarkEnd w:id="56"/>
      <w:bookmarkEnd w:id="57"/>
    </w:p>
    <w:p w14:paraId="187E6C4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合同期满前一个月，成交供应商须积极配合院方完成所有运行管理工作的交接。</w:t>
      </w:r>
    </w:p>
    <w:p w14:paraId="56F4C04A">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1"/>
        <w:rPr>
          <w:rFonts w:hint="eastAsia" w:ascii="仿宋" w:hAnsi="仿宋" w:eastAsia="仿宋" w:cs="仿宋"/>
          <w:b w:val="0"/>
          <w:bCs w:val="0"/>
          <w:sz w:val="21"/>
          <w:szCs w:val="21"/>
          <w:lang w:val="en-US" w:eastAsia="zh-CN"/>
        </w:rPr>
      </w:pPr>
      <w:bookmarkStart w:id="58" w:name="_Toc13271"/>
      <w:bookmarkStart w:id="59" w:name="_Toc1905"/>
      <w:r>
        <w:rPr>
          <w:rFonts w:hint="eastAsia" w:ascii="仿宋" w:hAnsi="仿宋" w:eastAsia="仿宋" w:cs="仿宋"/>
          <w:b w:val="0"/>
          <w:bCs w:val="0"/>
          <w:sz w:val="21"/>
          <w:szCs w:val="21"/>
          <w:lang w:val="en-US" w:eastAsia="zh-CN"/>
        </w:rPr>
        <w:t>七、其他条款</w:t>
      </w:r>
      <w:bookmarkEnd w:id="58"/>
      <w:bookmarkEnd w:id="59"/>
    </w:p>
    <w:p w14:paraId="3F37486B">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60" w:name="_Toc3091"/>
      <w:bookmarkStart w:id="61" w:name="_Toc6204"/>
      <w:r>
        <w:rPr>
          <w:rFonts w:hint="eastAsia" w:ascii="仿宋" w:hAnsi="仿宋" w:eastAsia="仿宋" w:cs="仿宋"/>
          <w:b w:val="0"/>
          <w:bCs w:val="0"/>
          <w:sz w:val="21"/>
          <w:szCs w:val="21"/>
          <w:lang w:val="en-US" w:eastAsia="zh-CN"/>
        </w:rPr>
        <w:t>（一）费用与设施</w:t>
      </w:r>
      <w:bookmarkEnd w:id="60"/>
      <w:bookmarkEnd w:id="61"/>
    </w:p>
    <w:p w14:paraId="79DBF5C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合同期内，污水处理站运行所需水电费用由院方承担；院方为成交供应商提供办公用房；成交供应商运维人员的食宿费用由成交供应商自行承担。</w:t>
      </w:r>
    </w:p>
    <w:p w14:paraId="7529C9AB">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62" w:name="_Toc9037"/>
      <w:bookmarkStart w:id="63" w:name="_Toc7711"/>
      <w:r>
        <w:rPr>
          <w:rFonts w:hint="eastAsia" w:ascii="仿宋" w:hAnsi="仿宋" w:eastAsia="仿宋" w:cs="仿宋"/>
          <w:b w:val="0"/>
          <w:bCs w:val="0"/>
          <w:sz w:val="21"/>
          <w:szCs w:val="21"/>
          <w:lang w:val="en-US" w:eastAsia="zh-CN"/>
        </w:rPr>
        <w:t>（二）检查配合与费用</w:t>
      </w:r>
      <w:bookmarkEnd w:id="62"/>
      <w:bookmarkEnd w:id="63"/>
    </w:p>
    <w:p w14:paraId="3B73AE1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在水质监测或相关部门检查过程中，院方仅为成交供应商提供必要的文件、证明等配合工作，相关检测、招待等费用由成交供应商承担，并应包含在成交供应商投标报价中。</w:t>
      </w:r>
    </w:p>
    <w:p w14:paraId="528E67F1">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64" w:name="_Toc18514"/>
      <w:bookmarkStart w:id="65" w:name="_Toc8840"/>
      <w:r>
        <w:rPr>
          <w:rFonts w:hint="eastAsia" w:ascii="仿宋" w:hAnsi="仿宋" w:eastAsia="仿宋" w:cs="仿宋"/>
          <w:b w:val="0"/>
          <w:bCs w:val="0"/>
          <w:sz w:val="21"/>
          <w:szCs w:val="21"/>
          <w:lang w:val="en-US" w:eastAsia="zh-CN"/>
        </w:rPr>
        <w:t>（三）监管与处罚</w:t>
      </w:r>
      <w:bookmarkEnd w:id="64"/>
      <w:bookmarkEnd w:id="65"/>
    </w:p>
    <w:p w14:paraId="7545D60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成交供应商在合同期间须接受院方的监管。院方若发现成交供应商违反其相关规定，有权对成交供应商处以500-1000元/次的违约金。</w:t>
      </w:r>
    </w:p>
    <w:p w14:paraId="11EE9834">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440" w:lineRule="exact"/>
        <w:ind w:firstLine="420" w:firstLineChars="200"/>
        <w:textAlignment w:val="auto"/>
        <w:outlineLvl w:val="2"/>
        <w:rPr>
          <w:rFonts w:hint="eastAsia" w:ascii="仿宋" w:hAnsi="仿宋" w:eastAsia="仿宋" w:cs="仿宋"/>
          <w:b w:val="0"/>
          <w:bCs w:val="0"/>
          <w:sz w:val="21"/>
          <w:szCs w:val="21"/>
          <w:lang w:val="en-US" w:eastAsia="zh-CN"/>
        </w:rPr>
      </w:pPr>
      <w:bookmarkStart w:id="66" w:name="_Toc10237"/>
      <w:bookmarkStart w:id="67" w:name="_Toc10270"/>
      <w:r>
        <w:rPr>
          <w:rFonts w:hint="eastAsia" w:ascii="仿宋" w:hAnsi="仿宋" w:eastAsia="仿宋" w:cs="仿宋"/>
          <w:b w:val="0"/>
          <w:bCs w:val="0"/>
          <w:sz w:val="21"/>
          <w:szCs w:val="21"/>
          <w:lang w:val="en-US" w:eastAsia="zh-CN"/>
        </w:rPr>
        <w:t>（四）违约责任</w:t>
      </w:r>
      <w:bookmarkEnd w:id="66"/>
      <w:bookmarkEnd w:id="67"/>
    </w:p>
    <w:p w14:paraId="1CF986F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除合同已有约定外，双方的其他违约责任依照《中华人民共和国民法典》相关规定执行。</w:t>
      </w:r>
    </w:p>
    <w:p w14:paraId="530A19C2">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p>
    <w:p w14:paraId="6B4EC35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p>
    <w:p w14:paraId="406B0F9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p>
    <w:p w14:paraId="5069464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p>
    <w:p w14:paraId="3FA2E48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p>
    <w:p w14:paraId="1C478F72">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p>
    <w:p w14:paraId="11FD362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仿宋" w:hAnsi="仿宋" w:eastAsia="仿宋" w:cs="仿宋"/>
          <w:kern w:val="2"/>
          <w:sz w:val="21"/>
          <w:szCs w:val="21"/>
          <w:lang w:val="en-US" w:eastAsia="zh-CN" w:bidi="ar-SA"/>
        </w:rPr>
      </w:pPr>
    </w:p>
    <w:p w14:paraId="1A600AED"/>
    <w:p w14:paraId="19C5BC72">
      <w:bookmarkStart w:id="68" w:name="_GoBack"/>
      <w:bookmarkEnd w:id="6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817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b/>
      <w:bCs/>
      <w:kern w:val="0"/>
      <w:sz w:val="27"/>
      <w:szCs w:val="27"/>
    </w:rPr>
  </w:style>
  <w:style w:type="paragraph" w:styleId="3">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paragraph" w:styleId="4">
    <w:name w:val="heading 5"/>
    <w:basedOn w:val="1"/>
    <w:next w:val="1"/>
    <w:link w:val="8"/>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0"/>
    <w:pPr>
      <w:spacing w:after="120"/>
    </w:pPr>
    <w:rPr>
      <w:szCs w:val="24"/>
    </w:rPr>
  </w:style>
  <w:style w:type="character" w:customStyle="1" w:styleId="8">
    <w:name w:val="标题 5 Char"/>
    <w:link w:val="4"/>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2025-12-12T03:10:33Z</dcterms:created>
  <dc:creator>27322</dc:creator>
  <cp:lastModifiedBy>乐乐</cp:lastModifiedBy>
  <dcterms:modified xsi:type="dcterms:W3CDTF">2025-12-12T03:10:41Z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eyJoZGlkIjoiMjdjN2IwZGFiODBhZmI4NGE4ZjQ1OTlmYjI5MWFkYTUiLCJ1c2VySWQiOiIxMTM0MzQwMzcwIn0=</vt:lpwstr>
  </property>
  <property fmtid="{D5CDD505-2E9C-101B-9397-08002B2CF9AE}" pid="4" name="ICV">
    <vt:lpwstr>FEEEE6B373D3463CA8463E89BCCBE811_12</vt:lpwstr>
  </property>
</Properties>
</file>